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34" w:rsidRDefault="008F0034" w:rsidP="008F0034">
      <w:pPr>
        <w:ind w:left="31680" w:hangingChars="347" w:firstLine="31680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江西省吉安市住房和城乡建设局发文稿纸</w:t>
      </w:r>
    </w:p>
    <w:tbl>
      <w:tblPr>
        <w:tblW w:w="9138" w:type="dxa"/>
        <w:tblLayout w:type="fixed"/>
        <w:tblLook w:val="0000"/>
      </w:tblPr>
      <w:tblGrid>
        <w:gridCol w:w="4518"/>
        <w:gridCol w:w="4620"/>
      </w:tblGrid>
      <w:tr w:rsidR="008F0034" w:rsidTr="00B375FD">
        <w:trPr>
          <w:trHeight w:val="1445"/>
        </w:trPr>
        <w:tc>
          <w:tcPr>
            <w:tcW w:w="45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034" w:rsidRDefault="008F0034" w:rsidP="00B375FD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发：</w:t>
            </w:r>
          </w:p>
          <w:p w:rsidR="008F0034" w:rsidRDefault="008F0034" w:rsidP="00B375FD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8F0034" w:rsidRDefault="008F0034" w:rsidP="008F0034">
            <w:pPr>
              <w:spacing w:line="560" w:lineRule="exact"/>
              <w:ind w:firstLineChars="750" w:firstLine="3168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034" w:rsidRDefault="008F0034" w:rsidP="00B375FD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分管领导：</w:t>
            </w:r>
          </w:p>
          <w:p w:rsidR="008F0034" w:rsidRDefault="008F0034" w:rsidP="00B375FD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</w:tr>
      <w:tr w:rsidR="008F0034" w:rsidTr="00B375FD">
        <w:trPr>
          <w:trHeight w:val="1319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034" w:rsidRDefault="008F0034" w:rsidP="00B375FD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核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稿：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F0034" w:rsidRDefault="008F0034" w:rsidP="00B375FD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会签单位：</w:t>
            </w:r>
          </w:p>
          <w:p w:rsidR="008F0034" w:rsidRDefault="008F0034" w:rsidP="00B375F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8F0034" w:rsidRDefault="008F0034" w:rsidP="00B375F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8F0034" w:rsidRDefault="008F0034" w:rsidP="00B375FD">
            <w:pPr>
              <w:jc w:val="right"/>
            </w:pPr>
          </w:p>
        </w:tc>
      </w:tr>
      <w:tr w:rsidR="008F0034" w:rsidTr="00B375FD">
        <w:trPr>
          <w:trHeight w:val="625"/>
        </w:trPr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034" w:rsidRDefault="008F0034" w:rsidP="00B375FD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主办单位</w:t>
            </w:r>
          </w:p>
          <w:p w:rsidR="008F0034" w:rsidRDefault="008F0034" w:rsidP="00B375FD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和拟稿人：</w:t>
            </w: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0034" w:rsidRDefault="008F0034" w:rsidP="00B375FD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0034" w:rsidTr="00B375FD">
        <w:trPr>
          <w:trHeight w:val="577"/>
        </w:trPr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0034" w:rsidRDefault="008F0034" w:rsidP="00B375FD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号：吉市建字［</w:t>
            </w:r>
            <w:r>
              <w:rPr>
                <w:rFonts w:ascii="仿宋_GB2312" w:eastAsia="仿宋_GB2312"/>
                <w:sz w:val="30"/>
                <w:szCs w:val="30"/>
              </w:rPr>
              <w:t>2020</w:t>
            </w:r>
            <w:r>
              <w:rPr>
                <w:rFonts w:ascii="仿宋_GB2312" w:eastAsia="仿宋_GB2312" w:hint="eastAsia"/>
                <w:sz w:val="30"/>
                <w:szCs w:val="30"/>
              </w:rPr>
              <w:t>］</w:t>
            </w:r>
            <w:r>
              <w:rPr>
                <w:rFonts w:ascii="仿宋_GB2312" w:eastAsia="仿宋_GB2312"/>
                <w:sz w:val="32"/>
                <w:szCs w:val="30"/>
              </w:rPr>
              <w:t>75</w:t>
            </w:r>
            <w:r>
              <w:rPr>
                <w:rFonts w:ascii="仿宋_GB2312" w:eastAsia="仿宋_GB2312" w:hint="eastAsia"/>
                <w:sz w:val="32"/>
                <w:szCs w:val="30"/>
              </w:rPr>
              <w:t>号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0034" w:rsidRDefault="008F0034" w:rsidP="008F0034">
            <w:pPr>
              <w:spacing w:line="560" w:lineRule="exact"/>
              <w:ind w:firstLineChars="500" w:firstLine="316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日封发</w:t>
            </w:r>
          </w:p>
        </w:tc>
      </w:tr>
    </w:tbl>
    <w:p w:rsidR="008F0034" w:rsidRDefault="008F0034" w:rsidP="005250B2">
      <w:pPr>
        <w:rPr>
          <w:rFonts w:ascii="宋体" w:eastAsia="宋体" w:hAnsi="宋体"/>
          <w:b/>
          <w:sz w:val="44"/>
          <w:szCs w:val="44"/>
        </w:rPr>
      </w:pPr>
    </w:p>
    <w:p w:rsidR="008F0034" w:rsidRPr="003F7B70" w:rsidRDefault="008F0034" w:rsidP="00CF1D1A">
      <w:pPr>
        <w:ind w:left="31680" w:hangingChars="347" w:firstLine="31680"/>
        <w:rPr>
          <w:rFonts w:ascii="宋体" w:eastAsia="宋体" w:hAnsi="宋体"/>
          <w:b/>
          <w:sz w:val="44"/>
          <w:szCs w:val="44"/>
        </w:rPr>
      </w:pPr>
      <w:r w:rsidRPr="003F7B70">
        <w:rPr>
          <w:rFonts w:ascii="宋体" w:eastAsia="宋体" w:hAnsi="宋体" w:hint="eastAsia"/>
          <w:b/>
          <w:sz w:val="44"/>
          <w:szCs w:val="44"/>
        </w:rPr>
        <w:t>关于表彰</w:t>
      </w:r>
      <w:r w:rsidRPr="003F7B70">
        <w:rPr>
          <w:rFonts w:ascii="宋体" w:eastAsia="宋体" w:hAnsi="宋体"/>
          <w:b/>
          <w:sz w:val="44"/>
          <w:szCs w:val="44"/>
        </w:rPr>
        <w:t>2019</w:t>
      </w:r>
      <w:r w:rsidRPr="003F7B70">
        <w:rPr>
          <w:rFonts w:ascii="宋体" w:eastAsia="宋体" w:hAnsi="宋体" w:hint="eastAsia"/>
          <w:b/>
          <w:sz w:val="44"/>
          <w:szCs w:val="44"/>
        </w:rPr>
        <w:t>年度吉安市建筑安全生产标准化样板工地的通报</w:t>
      </w:r>
    </w:p>
    <w:p w:rsidR="008F0034" w:rsidRPr="003F7B70" w:rsidRDefault="008F0034">
      <w:pPr>
        <w:adjustRightInd/>
        <w:snapToGrid/>
        <w:spacing w:before="100" w:beforeAutospacing="1" w:after="100" w:afterAutospacing="1" w:line="270" w:lineRule="atLeast"/>
        <w:jc w:val="both"/>
        <w:rPr>
          <w:rFonts w:ascii="宋体" w:eastAsia="宋体" w:hAnsi="宋体" w:cs="宋体"/>
          <w:b/>
          <w:color w:val="000000"/>
          <w:sz w:val="32"/>
          <w:szCs w:val="32"/>
        </w:rPr>
      </w:pPr>
      <w:r w:rsidRPr="003F7B70">
        <w:rPr>
          <w:rFonts w:ascii="宋体" w:eastAsia="宋体" w:hAnsi="宋体" w:cs="宋体" w:hint="eastAsia"/>
          <w:b/>
          <w:color w:val="000000"/>
          <w:sz w:val="32"/>
          <w:szCs w:val="32"/>
        </w:rPr>
        <w:t>井开区规划建设环保局、各县（市、区）住房和城乡建设局、庐陵新区工程建设管理局：</w:t>
      </w:r>
    </w:p>
    <w:p w:rsidR="008F0034" w:rsidRPr="003F7B70" w:rsidRDefault="008F0034" w:rsidP="00CF1D1A">
      <w:pPr>
        <w:adjustRightInd/>
        <w:snapToGrid/>
        <w:spacing w:before="100" w:beforeAutospacing="1" w:after="100" w:afterAutospacing="1" w:line="270" w:lineRule="atLeast"/>
        <w:ind w:firstLineChars="200" w:firstLine="31680"/>
        <w:jc w:val="both"/>
        <w:rPr>
          <w:rFonts w:ascii="宋体" w:eastAsia="宋体" w:hAnsi="宋体" w:cs="宋体"/>
          <w:sz w:val="32"/>
          <w:szCs w:val="32"/>
        </w:rPr>
      </w:pPr>
      <w:r w:rsidRPr="003F7B70">
        <w:rPr>
          <w:rFonts w:ascii="宋体" w:eastAsia="宋体" w:hAnsi="宋体" w:cs="仿宋_GB2312" w:hint="eastAsia"/>
          <w:color w:val="000000"/>
          <w:sz w:val="32"/>
          <w:szCs w:val="32"/>
        </w:rPr>
        <w:t>为了贯彻落实省住建厅《关于创建</w:t>
      </w:r>
      <w:r w:rsidRPr="003F7B70">
        <w:rPr>
          <w:rFonts w:ascii="宋体" w:eastAsia="宋体" w:hAnsi="宋体" w:cs="仿宋_GB2312"/>
          <w:color w:val="000000"/>
          <w:sz w:val="32"/>
          <w:szCs w:val="32"/>
        </w:rPr>
        <w:t>2019</w:t>
      </w:r>
      <w:r w:rsidRPr="003F7B70">
        <w:rPr>
          <w:rFonts w:ascii="宋体" w:eastAsia="宋体" w:hAnsi="宋体" w:cs="仿宋_GB2312" w:hint="eastAsia"/>
          <w:color w:val="000000"/>
          <w:sz w:val="32"/>
          <w:szCs w:val="32"/>
        </w:rPr>
        <w:t>年度建筑安全生产标准化示范工地的通知》（赣建安委〔</w:t>
      </w:r>
      <w:r w:rsidRPr="003F7B70">
        <w:rPr>
          <w:rFonts w:ascii="宋体" w:eastAsia="宋体" w:hAnsi="宋体" w:cs="仿宋_GB2312"/>
          <w:color w:val="000000"/>
          <w:sz w:val="32"/>
          <w:szCs w:val="32"/>
        </w:rPr>
        <w:t>2019</w:t>
      </w:r>
      <w:r w:rsidRPr="003F7B70">
        <w:rPr>
          <w:rFonts w:ascii="宋体" w:eastAsia="宋体" w:hAnsi="宋体" w:cs="仿宋_GB2312" w:hint="eastAsia"/>
          <w:color w:val="000000"/>
          <w:sz w:val="32"/>
          <w:szCs w:val="32"/>
        </w:rPr>
        <w:t>〕</w:t>
      </w:r>
      <w:r w:rsidRPr="003F7B70">
        <w:rPr>
          <w:rFonts w:ascii="宋体" w:eastAsia="宋体" w:hAnsi="宋体" w:cs="仿宋_GB2312"/>
          <w:color w:val="000000"/>
          <w:sz w:val="32"/>
          <w:szCs w:val="32"/>
        </w:rPr>
        <w:t>22</w:t>
      </w:r>
      <w:r w:rsidRPr="003F7B70">
        <w:rPr>
          <w:rFonts w:ascii="宋体" w:eastAsia="宋体" w:hAnsi="宋体" w:cs="仿宋_GB2312" w:hint="eastAsia"/>
          <w:color w:val="000000"/>
          <w:sz w:val="32"/>
          <w:szCs w:val="32"/>
        </w:rPr>
        <w:t>号）精神，起到样板工地示范引路作用。</w:t>
      </w:r>
      <w:r w:rsidRPr="003F7B70">
        <w:rPr>
          <w:rFonts w:ascii="宋体" w:eastAsia="宋体" w:hAnsi="宋体" w:cs="宋体" w:hint="eastAsia"/>
          <w:color w:val="000000"/>
          <w:sz w:val="32"/>
          <w:szCs w:val="32"/>
        </w:rPr>
        <w:t>全市建筑施工企业积极开展施工现场安全生产标准化工作，创建了一批样板、精品工程。吉安市建筑安全生产标准化样板工地评审委员会依据有关</w:t>
      </w:r>
      <w:bookmarkStart w:id="0" w:name="_GoBack"/>
      <w:bookmarkEnd w:id="0"/>
      <w:r w:rsidRPr="003F7B70">
        <w:rPr>
          <w:rFonts w:ascii="宋体" w:eastAsia="宋体" w:hAnsi="宋体" w:cs="宋体" w:hint="eastAsia"/>
          <w:color w:val="000000"/>
          <w:sz w:val="32"/>
          <w:szCs w:val="32"/>
        </w:rPr>
        <w:t>规定，对施工企业自愿申报并经相关县（市、区）建设行政主管部门审核推荐的</w:t>
      </w:r>
      <w:r w:rsidRPr="003F7B70">
        <w:rPr>
          <w:rFonts w:ascii="宋体" w:eastAsia="宋体" w:hAnsi="宋体" w:cs="宋体"/>
          <w:color w:val="000000"/>
          <w:sz w:val="32"/>
          <w:szCs w:val="32"/>
        </w:rPr>
        <w:t>2019</w:t>
      </w:r>
      <w:r w:rsidRPr="003F7B70">
        <w:rPr>
          <w:rFonts w:ascii="宋体" w:eastAsia="宋体" w:hAnsi="宋体" w:cs="宋体" w:hint="eastAsia"/>
          <w:color w:val="000000"/>
          <w:sz w:val="32"/>
          <w:szCs w:val="32"/>
        </w:rPr>
        <w:t>年度市级建筑安全生产标准化样板工地项目逐个进行了初审、评选及公示。现决定授予</w:t>
      </w:r>
      <w:r w:rsidRPr="003F7B70">
        <w:rPr>
          <w:rFonts w:ascii="宋体" w:eastAsia="宋体" w:hAnsi="宋体" w:cs="仿宋_GB2312" w:hint="eastAsia"/>
          <w:sz w:val="32"/>
          <w:szCs w:val="32"/>
        </w:rPr>
        <w:t>正荣阳光城文澜府一标段</w:t>
      </w:r>
      <w:r w:rsidRPr="003F7B70">
        <w:rPr>
          <w:rFonts w:ascii="宋体" w:eastAsia="宋体" w:hAnsi="宋体" w:cs="宋体" w:hint="eastAsia"/>
          <w:color w:val="000000"/>
          <w:sz w:val="32"/>
          <w:szCs w:val="32"/>
        </w:rPr>
        <w:t>等</w:t>
      </w:r>
      <w:r w:rsidRPr="003F7B70">
        <w:rPr>
          <w:rFonts w:ascii="宋体" w:eastAsia="宋体" w:hAnsi="宋体" w:cs="宋体"/>
          <w:color w:val="000000"/>
          <w:sz w:val="32"/>
          <w:szCs w:val="32"/>
        </w:rPr>
        <w:t>11</w:t>
      </w:r>
      <w:r w:rsidRPr="003F7B70">
        <w:rPr>
          <w:rFonts w:ascii="宋体" w:eastAsia="宋体" w:hAnsi="宋体" w:cs="宋体" w:hint="eastAsia"/>
          <w:color w:val="000000"/>
          <w:sz w:val="32"/>
          <w:szCs w:val="32"/>
        </w:rPr>
        <w:t>项工程“</w:t>
      </w:r>
      <w:r w:rsidRPr="003F7B70">
        <w:rPr>
          <w:rFonts w:ascii="宋体" w:eastAsia="宋体" w:hAnsi="宋体" w:cs="宋体"/>
          <w:color w:val="000000"/>
          <w:sz w:val="32"/>
          <w:szCs w:val="32"/>
        </w:rPr>
        <w:t>2019</w:t>
      </w:r>
      <w:r w:rsidRPr="003F7B70">
        <w:rPr>
          <w:rFonts w:ascii="宋体" w:eastAsia="宋体" w:hAnsi="宋体" w:cs="宋体" w:hint="eastAsia"/>
          <w:color w:val="000000"/>
          <w:sz w:val="32"/>
          <w:szCs w:val="32"/>
        </w:rPr>
        <w:t>年度吉安市建筑安全生产标准化样板工地”荣誉称号。</w:t>
      </w:r>
    </w:p>
    <w:p w:rsidR="008F0034" w:rsidRPr="003F7B70" w:rsidRDefault="008F0034" w:rsidP="00CF1D1A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Chars="200" w:firstLine="31680"/>
        <w:jc w:val="both"/>
        <w:rPr>
          <w:rFonts w:ascii="宋体" w:eastAsia="宋体" w:hAnsi="宋体" w:cs="宋体"/>
          <w:color w:val="000000"/>
          <w:sz w:val="32"/>
          <w:szCs w:val="32"/>
        </w:rPr>
      </w:pPr>
      <w:r w:rsidRPr="003F7B70">
        <w:rPr>
          <w:rFonts w:ascii="宋体" w:eastAsia="宋体" w:hAnsi="宋体" w:cs="宋体" w:hint="eastAsia"/>
          <w:color w:val="000000"/>
          <w:sz w:val="32"/>
          <w:szCs w:val="32"/>
        </w:rPr>
        <w:t>希望受表彰的施工企业认真总结经验，再接再厉，争创精品工程，为全面提高我市建筑施工安全生产水平，进一步促进我市建筑施工安全生产形势稳定好转作出新的贡献。</w:t>
      </w:r>
    </w:p>
    <w:p w:rsidR="008F0034" w:rsidRPr="005250B2" w:rsidRDefault="008F0034">
      <w:pPr>
        <w:shd w:val="clear" w:color="auto" w:fill="FFFFFF"/>
        <w:adjustRightInd/>
        <w:snapToGrid/>
        <w:spacing w:before="100" w:beforeAutospacing="1" w:after="100" w:afterAutospacing="1" w:line="270" w:lineRule="atLeast"/>
        <w:ind w:firstLine="420"/>
        <w:jc w:val="both"/>
        <w:rPr>
          <w:rFonts w:ascii="仿宋_GB2312" w:eastAsia="仿宋_GB2312" w:hAnsi="宋体" w:cs="宋体"/>
          <w:b/>
          <w:color w:val="000000"/>
          <w:sz w:val="32"/>
          <w:szCs w:val="32"/>
        </w:rPr>
      </w:pPr>
    </w:p>
    <w:p w:rsidR="008F0034" w:rsidRPr="005250B2" w:rsidRDefault="008F0034">
      <w:pPr>
        <w:shd w:val="clear" w:color="auto" w:fill="FFFFFF"/>
        <w:spacing w:line="390" w:lineRule="atLeast"/>
        <w:rPr>
          <w:rFonts w:ascii="宋体" w:eastAsia="宋体" w:hAnsi="宋体" w:cs="仿宋_GB2312"/>
          <w:color w:val="000000"/>
          <w:sz w:val="28"/>
          <w:szCs w:val="28"/>
        </w:rPr>
      </w:pPr>
      <w:r w:rsidRPr="005250B2">
        <w:rPr>
          <w:rFonts w:ascii="宋体" w:eastAsia="宋体" w:hAnsi="宋体" w:cs="仿宋_GB2312" w:hint="eastAsia"/>
          <w:color w:val="000000"/>
          <w:sz w:val="28"/>
          <w:szCs w:val="28"/>
        </w:rPr>
        <w:t>附件：</w:t>
      </w:r>
      <w:r w:rsidRPr="005250B2">
        <w:rPr>
          <w:rFonts w:ascii="宋体" w:eastAsia="宋体" w:hAnsi="宋体" w:cs="仿宋_GB2312"/>
          <w:color w:val="000000"/>
          <w:sz w:val="28"/>
          <w:szCs w:val="28"/>
        </w:rPr>
        <w:t>2019</w:t>
      </w:r>
      <w:r w:rsidRPr="005250B2">
        <w:rPr>
          <w:rFonts w:ascii="宋体" w:eastAsia="宋体" w:hAnsi="宋体" w:cs="仿宋_GB2312" w:hint="eastAsia"/>
          <w:color w:val="000000"/>
          <w:sz w:val="28"/>
          <w:szCs w:val="28"/>
        </w:rPr>
        <w:t>年度吉安市建筑安全生产标准化样板工地一览表</w:t>
      </w:r>
    </w:p>
    <w:p w:rsidR="008F0034" w:rsidRPr="005250B2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b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eastAsia="宋体" w:cs="仿宋_GB2312"/>
          <w:color w:val="000000"/>
          <w:sz w:val="32"/>
          <w:szCs w:val="32"/>
        </w:rPr>
      </w:pPr>
    </w:p>
    <w:p w:rsidR="008F0034" w:rsidRDefault="008F0034" w:rsidP="00CF1D1A">
      <w:pPr>
        <w:shd w:val="clear" w:color="auto" w:fill="FFFFFF"/>
        <w:spacing w:line="390" w:lineRule="atLeast"/>
        <w:ind w:firstLineChars="100" w:firstLine="31680"/>
        <w:jc w:val="center"/>
        <w:rPr>
          <w:rFonts w:ascii="宋体" w:cs="仿宋_GB2312"/>
          <w:color w:val="000000"/>
          <w:sz w:val="32"/>
          <w:szCs w:val="32"/>
        </w:rPr>
      </w:pPr>
      <w:r>
        <w:rPr>
          <w:rFonts w:ascii="宋体" w:hAnsi="宋体" w:cs="仿宋_GB2312"/>
          <w:color w:val="000000"/>
          <w:sz w:val="32"/>
          <w:szCs w:val="32"/>
        </w:rPr>
        <w:t>2019</w:t>
      </w:r>
      <w:r>
        <w:rPr>
          <w:rFonts w:ascii="宋体" w:hAnsi="宋体" w:cs="仿宋_GB2312" w:hint="eastAsia"/>
          <w:color w:val="000000"/>
          <w:sz w:val="32"/>
          <w:szCs w:val="32"/>
        </w:rPr>
        <w:t>年度吉安市建筑安全生产标准化样板工地一览表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"/>
        <w:gridCol w:w="2647"/>
        <w:gridCol w:w="2421"/>
        <w:gridCol w:w="1175"/>
        <w:gridCol w:w="1769"/>
      </w:tblGrid>
      <w:tr w:rsidR="008F0034" w:rsidRPr="004F60DD" w:rsidTr="003F7B70">
        <w:trPr>
          <w:trHeight w:val="807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序号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工程名称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施工单位</w:t>
            </w:r>
          </w:p>
        </w:tc>
        <w:tc>
          <w:tcPr>
            <w:tcW w:w="126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项目经理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建筑面积（㎡）</w:t>
            </w:r>
          </w:p>
        </w:tc>
      </w:tr>
      <w:tr w:rsidR="008F0034" w:rsidRPr="004F60DD" w:rsidTr="003F7B70">
        <w:trPr>
          <w:trHeight w:val="1044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正荣阳光城文澜府一标段</w:t>
            </w:r>
            <w:r>
              <w:rPr>
                <w:rFonts w:ascii="宋体" w:hAnsi="宋体" w:cs="宋体"/>
                <w:sz w:val="24"/>
              </w:rPr>
              <w:t>10#-13#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15#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中建二局第二建筑工程有限公司</w:t>
            </w:r>
          </w:p>
        </w:tc>
        <w:tc>
          <w:tcPr>
            <w:tcW w:w="1260" w:type="dxa"/>
            <w:vAlign w:val="center"/>
          </w:tcPr>
          <w:p w:rsidR="008F0034" w:rsidRDefault="008F0034" w:rsidP="008F0034">
            <w:pPr>
              <w:spacing w:before="100" w:beforeAutospacing="1" w:after="100" w:afterAutospacing="1"/>
              <w:ind w:firstLineChars="50" w:firstLine="316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李立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31786</w:t>
            </w:r>
          </w:p>
        </w:tc>
      </w:tr>
      <w:tr w:rsidR="008F0034" w:rsidRPr="004F60DD" w:rsidTr="003F7B70">
        <w:trPr>
          <w:trHeight w:val="1086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1"/>
              </w:rPr>
              <w:t>2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碧桂园正荣庐陵府二标段</w:t>
            </w:r>
            <w:r>
              <w:rPr>
                <w:rFonts w:ascii="宋体" w:hAnsi="宋体" w:cs="宋体"/>
                <w:sz w:val="24"/>
              </w:rPr>
              <w:t>25#-30#</w:t>
            </w:r>
            <w:r>
              <w:rPr>
                <w:rFonts w:ascii="宋体" w:hAnsi="宋体" w:cs="宋体" w:hint="eastAsia"/>
                <w:sz w:val="24"/>
              </w:rPr>
              <w:t>楼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中建二局第二建筑工程有限公司</w:t>
            </w:r>
          </w:p>
        </w:tc>
        <w:tc>
          <w:tcPr>
            <w:tcW w:w="1260" w:type="dxa"/>
            <w:vAlign w:val="center"/>
          </w:tcPr>
          <w:p w:rsidR="008F0034" w:rsidRDefault="008F0034" w:rsidP="008F0034">
            <w:pPr>
              <w:spacing w:before="100" w:beforeAutospacing="1" w:after="100" w:afterAutospacing="1"/>
              <w:ind w:firstLineChars="50" w:firstLine="316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甘军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43864</w:t>
            </w:r>
          </w:p>
        </w:tc>
      </w:tr>
      <w:tr w:rsidR="008F0034" w:rsidRPr="004F60DD" w:rsidTr="003F7B70">
        <w:trPr>
          <w:trHeight w:val="1228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1"/>
              </w:rPr>
              <w:t>3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新建铁路南昌至赣州客运专线房建工程</w:t>
            </w:r>
            <w:r>
              <w:rPr>
                <w:rFonts w:ascii="宋体" w:hAnsi="宋体" w:cs="宋体"/>
                <w:sz w:val="24"/>
              </w:rPr>
              <w:t>CGFJ-3</w:t>
            </w:r>
            <w:r>
              <w:rPr>
                <w:rFonts w:ascii="宋体" w:hAnsi="宋体" w:cs="宋体" w:hint="eastAsia"/>
                <w:sz w:val="24"/>
              </w:rPr>
              <w:t>标工程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中铁建设集团有限公司</w:t>
            </w:r>
          </w:p>
        </w:tc>
        <w:tc>
          <w:tcPr>
            <w:tcW w:w="1260" w:type="dxa"/>
            <w:vAlign w:val="center"/>
          </w:tcPr>
          <w:p w:rsidR="008F0034" w:rsidRDefault="008F0034" w:rsidP="008F0034">
            <w:pPr>
              <w:spacing w:before="100" w:beforeAutospacing="1" w:after="100" w:afterAutospacing="1"/>
              <w:ind w:firstLineChars="50" w:firstLine="316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王硕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55032</w:t>
            </w:r>
          </w:p>
        </w:tc>
      </w:tr>
      <w:tr w:rsidR="008F0034" w:rsidRPr="004F60DD" w:rsidTr="003F7B70">
        <w:trPr>
          <w:trHeight w:val="932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1"/>
              </w:rPr>
              <w:t>4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永新碧桂园项目二标段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山河建设集团有限公司</w:t>
            </w:r>
          </w:p>
        </w:tc>
        <w:tc>
          <w:tcPr>
            <w:tcW w:w="1260" w:type="dxa"/>
            <w:vAlign w:val="center"/>
          </w:tcPr>
          <w:p w:rsidR="008F0034" w:rsidRDefault="008F0034" w:rsidP="008F0034">
            <w:pPr>
              <w:spacing w:before="100" w:beforeAutospacing="1" w:after="100" w:afterAutospacing="1"/>
              <w:ind w:firstLineChars="50" w:firstLine="316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夏历</w:t>
            </w:r>
          </w:p>
        </w:tc>
        <w:tc>
          <w:tcPr>
            <w:tcW w:w="1819" w:type="dxa"/>
            <w:vAlign w:val="center"/>
          </w:tcPr>
          <w:p w:rsidR="008F0034" w:rsidRDefault="008F0034" w:rsidP="008F0034">
            <w:pPr>
              <w:spacing w:before="100" w:beforeAutospacing="1" w:after="100" w:afterAutospacing="1"/>
              <w:ind w:firstLineChars="100" w:firstLine="31680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39588.83</w:t>
            </w:r>
          </w:p>
        </w:tc>
      </w:tr>
      <w:tr w:rsidR="008F0034" w:rsidRPr="004F60DD" w:rsidTr="003F7B70">
        <w:trPr>
          <w:trHeight w:val="1093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遂川县盈城时代广场</w:t>
            </w:r>
            <w:r>
              <w:rPr>
                <w:rFonts w:ascii="宋体" w:hAnsi="宋体" w:cs="宋体"/>
                <w:sz w:val="24"/>
              </w:rPr>
              <w:t>1-3#</w:t>
            </w:r>
            <w:r>
              <w:rPr>
                <w:rFonts w:ascii="宋体" w:hAnsi="宋体" w:cs="宋体" w:hint="eastAsia"/>
                <w:sz w:val="24"/>
              </w:rPr>
              <w:t>楼及地下室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江西信业投资发展有限公司</w:t>
            </w:r>
          </w:p>
        </w:tc>
        <w:tc>
          <w:tcPr>
            <w:tcW w:w="1260" w:type="dxa"/>
            <w:vAlign w:val="center"/>
          </w:tcPr>
          <w:p w:rsidR="008F0034" w:rsidRDefault="008F0034" w:rsidP="008F0034">
            <w:pPr>
              <w:spacing w:before="100" w:beforeAutospacing="1" w:after="100" w:afterAutospacing="1"/>
              <w:ind w:firstLineChars="50" w:firstLine="3168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饶水明</w:t>
            </w:r>
          </w:p>
        </w:tc>
        <w:tc>
          <w:tcPr>
            <w:tcW w:w="1819" w:type="dxa"/>
            <w:vAlign w:val="center"/>
          </w:tcPr>
          <w:p w:rsidR="008F0034" w:rsidRDefault="008F0034" w:rsidP="008F0034">
            <w:pPr>
              <w:spacing w:before="100" w:beforeAutospacing="1" w:after="100" w:afterAutospacing="1"/>
              <w:ind w:firstLineChars="100" w:firstLine="31680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50457.58</w:t>
            </w:r>
          </w:p>
        </w:tc>
      </w:tr>
      <w:tr w:rsidR="008F0034" w:rsidRPr="004F60DD" w:rsidTr="003F7B70">
        <w:trPr>
          <w:trHeight w:val="1079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吉安市生活垃圾焚烧发电项目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浙江省二建建设集团有限公司</w:t>
            </w:r>
          </w:p>
        </w:tc>
        <w:tc>
          <w:tcPr>
            <w:tcW w:w="126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姜航天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32688.15</w:t>
            </w:r>
          </w:p>
        </w:tc>
      </w:tr>
      <w:tr w:rsidR="008F0034" w:rsidRPr="004F60DD" w:rsidTr="003F7B70">
        <w:trPr>
          <w:trHeight w:val="1079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1"/>
              </w:rPr>
              <w:t>7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吉水二中迁建项目土建及挡土墙支护工程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吉安市第四建筑工程有限公司</w:t>
            </w:r>
          </w:p>
        </w:tc>
        <w:tc>
          <w:tcPr>
            <w:tcW w:w="126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李凌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47595.28</w:t>
            </w:r>
          </w:p>
        </w:tc>
      </w:tr>
      <w:tr w:rsidR="008F0034" w:rsidRPr="004F60DD" w:rsidTr="003F7B70">
        <w:trPr>
          <w:trHeight w:val="924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szCs w:val="21"/>
              </w:rPr>
              <w:t>8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泰和碧桂园一标段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山河建设集团有限公司</w:t>
            </w:r>
          </w:p>
        </w:tc>
        <w:tc>
          <w:tcPr>
            <w:tcW w:w="126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刘建国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91360</w:t>
            </w:r>
          </w:p>
        </w:tc>
      </w:tr>
      <w:tr w:rsidR="008F0034" w:rsidRPr="004F60DD" w:rsidTr="003F7B70">
        <w:trPr>
          <w:trHeight w:val="1070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9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遂川县金域首府三期建安工程</w:t>
            </w:r>
            <w:r>
              <w:rPr>
                <w:rFonts w:ascii="宋体" w:hAnsi="宋体" w:cs="宋体"/>
                <w:sz w:val="24"/>
                <w:szCs w:val="21"/>
              </w:rPr>
              <w:t>41#</w:t>
            </w:r>
            <w:r>
              <w:rPr>
                <w:rFonts w:ascii="宋体" w:hAnsi="宋体" w:cs="宋体" w:hint="eastAsia"/>
                <w:sz w:val="24"/>
                <w:szCs w:val="21"/>
              </w:rPr>
              <w:t>楼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江西鑫山建设有限公司</w:t>
            </w:r>
          </w:p>
        </w:tc>
        <w:tc>
          <w:tcPr>
            <w:tcW w:w="126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袁冬梅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5988.4</w:t>
            </w:r>
          </w:p>
        </w:tc>
      </w:tr>
      <w:tr w:rsidR="008F0034" w:rsidRPr="004F60DD" w:rsidTr="003F7B70">
        <w:trPr>
          <w:trHeight w:val="1251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遂川县全民健身中心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江西信业投资发展有限公司</w:t>
            </w:r>
          </w:p>
        </w:tc>
        <w:tc>
          <w:tcPr>
            <w:tcW w:w="126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杨治华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24963.62</w:t>
            </w:r>
          </w:p>
        </w:tc>
      </w:tr>
      <w:tr w:rsidR="008F0034" w:rsidRPr="004F60DD" w:rsidTr="003F7B70">
        <w:trPr>
          <w:trHeight w:val="1213"/>
        </w:trPr>
        <w:tc>
          <w:tcPr>
            <w:tcW w:w="518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11</w:t>
            </w:r>
          </w:p>
        </w:tc>
        <w:tc>
          <w:tcPr>
            <w:tcW w:w="283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峡江县信业荣耀府项目</w:t>
            </w:r>
          </w:p>
        </w:tc>
        <w:tc>
          <w:tcPr>
            <w:tcW w:w="2700" w:type="dxa"/>
            <w:vAlign w:val="center"/>
          </w:tcPr>
          <w:p w:rsidR="008F0034" w:rsidRDefault="008F0034">
            <w:pPr>
              <w:spacing w:before="100" w:beforeAutospacing="1" w:after="100" w:afterAutospacing="1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江西鸿泰建设工程有限公司</w:t>
            </w:r>
          </w:p>
        </w:tc>
        <w:tc>
          <w:tcPr>
            <w:tcW w:w="1260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龚文云</w:t>
            </w:r>
          </w:p>
        </w:tc>
        <w:tc>
          <w:tcPr>
            <w:tcW w:w="1819" w:type="dxa"/>
            <w:vAlign w:val="center"/>
          </w:tcPr>
          <w:p w:rsidR="008F0034" w:rsidRDefault="008F0034">
            <w:pPr>
              <w:spacing w:before="100" w:beforeAutospacing="1" w:after="100" w:afterAutospacing="1"/>
              <w:jc w:val="center"/>
              <w:rPr>
                <w:rFonts w:ascii="宋体" w:eastAsia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78858.42</w:t>
            </w:r>
          </w:p>
        </w:tc>
      </w:tr>
    </w:tbl>
    <w:p w:rsidR="008F0034" w:rsidRDefault="008F0034"/>
    <w:sectPr w:rsidR="008F0034" w:rsidSect="006C5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34" w:rsidRDefault="008F0034">
      <w:r>
        <w:separator/>
      </w:r>
    </w:p>
  </w:endnote>
  <w:endnote w:type="continuationSeparator" w:id="0">
    <w:p w:rsidR="008F0034" w:rsidRDefault="008F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4" w:rsidRDefault="008F00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4" w:rsidRDefault="008F00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4" w:rsidRDefault="008F00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34" w:rsidRDefault="008F0034">
      <w:r>
        <w:separator/>
      </w:r>
    </w:p>
  </w:footnote>
  <w:footnote w:type="continuationSeparator" w:id="0">
    <w:p w:rsidR="008F0034" w:rsidRDefault="008F0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4" w:rsidRDefault="008F00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4" w:rsidRDefault="008F0034" w:rsidP="00CF1D1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34" w:rsidRDefault="008F00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CD8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A6D0F8D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47A0B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3241A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85434F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B76ADD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56287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5A25C8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BFCA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5E4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C7E562F"/>
    <w:rsid w:val="00001DE1"/>
    <w:rsid w:val="00091086"/>
    <w:rsid w:val="0021621B"/>
    <w:rsid w:val="003F7B70"/>
    <w:rsid w:val="004F60DD"/>
    <w:rsid w:val="005250B2"/>
    <w:rsid w:val="0054570F"/>
    <w:rsid w:val="006C55A2"/>
    <w:rsid w:val="006D4311"/>
    <w:rsid w:val="008F0034"/>
    <w:rsid w:val="009720F9"/>
    <w:rsid w:val="00B32BEC"/>
    <w:rsid w:val="00B375FD"/>
    <w:rsid w:val="00CF1084"/>
    <w:rsid w:val="00CF1D1A"/>
    <w:rsid w:val="00E377F0"/>
    <w:rsid w:val="00EF278D"/>
    <w:rsid w:val="00F208CD"/>
    <w:rsid w:val="1C22085A"/>
    <w:rsid w:val="1C7E562F"/>
    <w:rsid w:val="282718DA"/>
    <w:rsid w:val="37A8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C55A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5A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55A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0F9"/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20F9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rsid w:val="003F7B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20F9"/>
    <w:rPr>
      <w:rFonts w:ascii="Tahoma" w:eastAsia="微软雅黑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3F7B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20F9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4</Pages>
  <Words>161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风吹无痕</dc:creator>
  <cp:keywords/>
  <dc:description/>
  <cp:lastModifiedBy>微软用户</cp:lastModifiedBy>
  <cp:revision>4</cp:revision>
  <cp:lastPrinted>2020-04-26T02:55:00Z</cp:lastPrinted>
  <dcterms:created xsi:type="dcterms:W3CDTF">2019-04-08T06:52:00Z</dcterms:created>
  <dcterms:modified xsi:type="dcterms:W3CDTF">2020-04-30T06:39:00Z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